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E71705">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образовательное учреждение «Детский сад</w:t>
      </w:r>
      <w:r w:rsidR="00BF4A84">
        <w:rPr>
          <w:sz w:val="22"/>
          <w:szCs w:val="22"/>
        </w:rPr>
        <w:t xml:space="preserve"> комбинированного вида  № 193</w:t>
      </w:r>
      <w:r>
        <w:rPr>
          <w:sz w:val="22"/>
          <w:szCs w:val="22"/>
        </w:rPr>
        <w:t>»</w:t>
      </w:r>
      <w:r w:rsidRPr="00230474">
        <w:rPr>
          <w:sz w:val="22"/>
          <w:szCs w:val="22"/>
        </w:rPr>
        <w:t xml:space="preserve">, именуемое в дальнейшем «Заказчик», в лице </w:t>
      </w:r>
      <w:r w:rsidR="00BF4A84">
        <w:rPr>
          <w:sz w:val="22"/>
          <w:szCs w:val="22"/>
        </w:rPr>
        <w:t xml:space="preserve">заведующего </w:t>
      </w:r>
      <w:proofErr w:type="spellStart"/>
      <w:r w:rsidR="00BF4A84">
        <w:rPr>
          <w:sz w:val="22"/>
          <w:szCs w:val="22"/>
        </w:rPr>
        <w:t>Начинкиной</w:t>
      </w:r>
      <w:proofErr w:type="spellEnd"/>
      <w:r w:rsidR="00BF4A84">
        <w:rPr>
          <w:sz w:val="22"/>
          <w:szCs w:val="22"/>
        </w:rPr>
        <w:t xml:space="preserve"> Натальи Константиновны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proofErr w:type="gramStart"/>
      <w:r w:rsidRPr="00230474">
        <w:rPr>
          <w:sz w:val="22"/>
          <w:szCs w:val="22"/>
        </w:rPr>
        <w:t xml:space="preserve">1.1.По настоящему контракту Подрядчик обязуется выполнить  </w:t>
      </w:r>
      <w:r w:rsidR="008B53EC">
        <w:rPr>
          <w:sz w:val="22"/>
          <w:szCs w:val="22"/>
        </w:rPr>
        <w:t>ремонтные работы (Р</w:t>
      </w:r>
      <w:r w:rsidR="00BF4A84">
        <w:rPr>
          <w:sz w:val="22"/>
          <w:szCs w:val="22"/>
        </w:rPr>
        <w:t>емонтные работы асфальтового покрытия на территории</w:t>
      </w:r>
      <w:r w:rsidR="002710F1">
        <w:rPr>
          <w:sz w:val="22"/>
          <w:szCs w:val="22"/>
        </w:rPr>
        <w:t xml:space="preserve"> МБДОУ</w:t>
      </w:r>
      <w:r w:rsidR="00BF4A84">
        <w:rPr>
          <w:sz w:val="22"/>
          <w:szCs w:val="22"/>
        </w:rPr>
        <w:t xml:space="preserve"> </w:t>
      </w:r>
      <w:r w:rsidR="002710F1">
        <w:rPr>
          <w:sz w:val="22"/>
          <w:szCs w:val="22"/>
        </w:rPr>
        <w:t>«Д</w:t>
      </w:r>
      <w:r w:rsidR="00BF4A84">
        <w:rPr>
          <w:sz w:val="22"/>
          <w:szCs w:val="22"/>
        </w:rPr>
        <w:t>етск</w:t>
      </w:r>
      <w:r w:rsidR="002710F1">
        <w:rPr>
          <w:sz w:val="22"/>
          <w:szCs w:val="22"/>
        </w:rPr>
        <w:t xml:space="preserve">ий сад комбинированного вида </w:t>
      </w:r>
      <w:bookmarkStart w:id="0" w:name="_GoBack"/>
      <w:bookmarkEnd w:id="0"/>
      <w:r w:rsidR="002710F1">
        <w:rPr>
          <w:sz w:val="22"/>
          <w:szCs w:val="22"/>
        </w:rPr>
        <w:t>№193»</w:t>
      </w:r>
      <w:r w:rsidRPr="00D20C6B">
        <w:rPr>
          <w:sz w:val="22"/>
          <w:szCs w:val="22"/>
        </w:rPr>
        <w:t>) по адресу: г. Иваново, ул</w:t>
      </w:r>
      <w:r w:rsidRPr="00230474">
        <w:rPr>
          <w:sz w:val="22"/>
          <w:szCs w:val="22"/>
        </w:rPr>
        <w:t xml:space="preserve">. </w:t>
      </w:r>
      <w:r w:rsidR="00BF4A84">
        <w:rPr>
          <w:sz w:val="22"/>
          <w:szCs w:val="22"/>
        </w:rPr>
        <w:t>2-я Полевая, д.61</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sidR="00E71705">
        <w:rPr>
          <w:sz w:val="22"/>
          <w:szCs w:val="22"/>
        </w:rPr>
        <w:t>момента заключения контракта</w:t>
      </w:r>
      <w:r>
        <w:rPr>
          <w:sz w:val="22"/>
          <w:szCs w:val="22"/>
        </w:rPr>
        <w:t xml:space="preserve"> до 27.07.2015г.</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w:t>
      </w:r>
      <w:proofErr w:type="spellStart"/>
      <w:r w:rsidRPr="00F33541">
        <w:rPr>
          <w:sz w:val="22"/>
          <w:szCs w:val="22"/>
        </w:rPr>
        <w:t>контрактоми</w:t>
      </w:r>
      <w:proofErr w:type="spellEnd"/>
      <w:proofErr w:type="gramEnd"/>
      <w:r w:rsidRPr="00F33541">
        <w:rPr>
          <w:sz w:val="22"/>
          <w:szCs w:val="22"/>
        </w:rPr>
        <w:t xml:space="preserve"> фактически исполненных Подрядчико</w:t>
      </w:r>
      <w:proofErr w:type="gramStart"/>
      <w:r w:rsidRPr="00F33541">
        <w:rPr>
          <w:sz w:val="22"/>
          <w:szCs w:val="22"/>
        </w:rPr>
        <w:t>м</w:t>
      </w:r>
      <w:r w:rsidRPr="00302E6C">
        <w:rPr>
          <w:sz w:val="22"/>
          <w:szCs w:val="22"/>
        </w:rPr>
        <w:t>(</w:t>
      </w:r>
      <w:proofErr w:type="gramEnd"/>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931411" w:rsidRDefault="00931411" w:rsidP="00931411">
      <w:pPr>
        <w:widowControl/>
        <w:ind w:firstLine="540"/>
        <w:jc w:val="both"/>
        <w:rPr>
          <w:sz w:val="22"/>
          <w:szCs w:val="22"/>
        </w:rPr>
      </w:pPr>
      <w:r w:rsidRPr="00931411">
        <w:rPr>
          <w:noProof/>
          <w:position w:val="-14"/>
          <w:sz w:val="22"/>
          <w:szCs w:val="22"/>
        </w:rPr>
        <w:lastRenderedPageBreak/>
        <w:drawing>
          <wp:inline distT="0" distB="0" distL="0" distR="0">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931411">
        <w:rPr>
          <w:sz w:val="22"/>
          <w:szCs w:val="22"/>
        </w:rPr>
        <w:t xml:space="preserve"> К</w:t>
      </w:r>
      <w:proofErr w:type="gramEnd"/>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ДП - количество дней просрочки.</w:t>
      </w:r>
    </w:p>
    <w:p w:rsidR="00931411" w:rsidRPr="00931411" w:rsidRDefault="00931411" w:rsidP="00931411">
      <w:pPr>
        <w:widowControl/>
        <w:ind w:firstLine="540"/>
        <w:jc w:val="both"/>
        <w:rPr>
          <w:sz w:val="22"/>
          <w:szCs w:val="22"/>
        </w:rPr>
      </w:pPr>
      <w:r w:rsidRPr="00931411">
        <w:rPr>
          <w:sz w:val="22"/>
          <w:szCs w:val="22"/>
        </w:rPr>
        <w:t>Коэффициент</w:t>
      </w:r>
      <w:proofErr w:type="gramStart"/>
      <w:r w:rsidRPr="00931411">
        <w:rPr>
          <w:sz w:val="22"/>
          <w:szCs w:val="22"/>
        </w:rPr>
        <w:t xml:space="preserve"> К</w:t>
      </w:r>
      <w:proofErr w:type="gramEnd"/>
      <w:r w:rsidRPr="00931411">
        <w:rPr>
          <w:sz w:val="22"/>
          <w:szCs w:val="22"/>
        </w:rPr>
        <w:t xml:space="preserve"> определяется по формуле:</w:t>
      </w:r>
    </w:p>
    <w:p w:rsidR="00931411" w:rsidRPr="00931411" w:rsidRDefault="00931411" w:rsidP="00931411">
      <w:pPr>
        <w:widowControl/>
        <w:ind w:firstLine="540"/>
        <w:jc w:val="both"/>
        <w:outlineLvl w:val="0"/>
        <w:rPr>
          <w:sz w:val="22"/>
          <w:szCs w:val="22"/>
        </w:rPr>
      </w:pPr>
    </w:p>
    <w:p w:rsidR="00931411" w:rsidRPr="00931411" w:rsidRDefault="00931411" w:rsidP="00931411">
      <w:pPr>
        <w:widowControl/>
        <w:jc w:val="center"/>
        <w:rPr>
          <w:sz w:val="22"/>
          <w:szCs w:val="22"/>
        </w:rPr>
      </w:pPr>
      <w:r w:rsidRPr="00931411">
        <w:rPr>
          <w:noProof/>
          <w:position w:val="-28"/>
          <w:sz w:val="22"/>
          <w:szCs w:val="22"/>
        </w:rPr>
        <w:drawing>
          <wp:inline distT="0" distB="0" distL="0" distR="0">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931411">
        <w:rPr>
          <w:sz w:val="22"/>
          <w:szCs w:val="22"/>
        </w:rPr>
        <w:t>,</w:t>
      </w:r>
    </w:p>
    <w:p w:rsidR="001A3AB4" w:rsidRPr="0058790E" w:rsidRDefault="001A3AB4" w:rsidP="001A3AB4">
      <w:pPr>
        <w:ind w:firstLine="720"/>
        <w:jc w:val="both"/>
        <w:rPr>
          <w:sz w:val="24"/>
          <w:szCs w:val="24"/>
        </w:rPr>
      </w:pPr>
      <w:r w:rsidRPr="0058790E">
        <w:rPr>
          <w:sz w:val="24"/>
          <w:szCs w:val="24"/>
        </w:rPr>
        <w:t>где:</w:t>
      </w:r>
    </w:p>
    <w:p w:rsidR="001A3AB4" w:rsidRPr="0058790E" w:rsidRDefault="001A3AB4" w:rsidP="001A3AB4">
      <w:pPr>
        <w:ind w:firstLine="720"/>
        <w:jc w:val="both"/>
        <w:rPr>
          <w:sz w:val="24"/>
          <w:szCs w:val="24"/>
        </w:rPr>
      </w:pPr>
      <w:r w:rsidRPr="0058790E">
        <w:rPr>
          <w:sz w:val="24"/>
          <w:szCs w:val="24"/>
        </w:rPr>
        <w:t>ДП - количество дней просрочки;</w:t>
      </w:r>
    </w:p>
    <w:p w:rsidR="001A3AB4" w:rsidRPr="002710F1" w:rsidRDefault="001A3AB4" w:rsidP="001A3AB4">
      <w:pPr>
        <w:ind w:firstLine="720"/>
        <w:jc w:val="both"/>
        <w:rPr>
          <w:sz w:val="22"/>
          <w:szCs w:val="22"/>
        </w:rPr>
      </w:pPr>
      <w:r w:rsidRPr="002710F1">
        <w:rPr>
          <w:sz w:val="22"/>
          <w:szCs w:val="22"/>
        </w:rPr>
        <w:t>ДК - срок исполнения обязательства по контракту (количество дней).</w:t>
      </w:r>
    </w:p>
    <w:p w:rsidR="001A3AB4" w:rsidRPr="002710F1" w:rsidRDefault="001A3AB4" w:rsidP="001A3AB4">
      <w:pPr>
        <w:ind w:firstLine="720"/>
        <w:jc w:val="both"/>
        <w:rPr>
          <w:sz w:val="22"/>
          <w:szCs w:val="22"/>
        </w:rPr>
      </w:pPr>
      <w:r w:rsidRPr="002710F1">
        <w:rPr>
          <w:sz w:val="22"/>
          <w:szCs w:val="22"/>
        </w:rPr>
        <w:t>При</w:t>
      </w:r>
      <w:proofErr w:type="gramStart"/>
      <w:r w:rsidRPr="002710F1">
        <w:rPr>
          <w:sz w:val="22"/>
          <w:szCs w:val="22"/>
        </w:rPr>
        <w:t xml:space="preserve"> К</w:t>
      </w:r>
      <w:proofErr w:type="gramEnd"/>
      <w:r w:rsidRPr="002710F1">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2710F1" w:rsidRDefault="001A3AB4" w:rsidP="001A3AB4">
      <w:pPr>
        <w:ind w:firstLine="720"/>
        <w:jc w:val="both"/>
        <w:rPr>
          <w:sz w:val="22"/>
          <w:szCs w:val="22"/>
        </w:rPr>
      </w:pPr>
      <w:r w:rsidRPr="002710F1">
        <w:rPr>
          <w:sz w:val="22"/>
          <w:szCs w:val="22"/>
        </w:rPr>
        <w:t>При</w:t>
      </w:r>
      <w:proofErr w:type="gramStart"/>
      <w:r w:rsidRPr="002710F1">
        <w:rPr>
          <w:sz w:val="22"/>
          <w:szCs w:val="22"/>
        </w:rPr>
        <w:t xml:space="preserve"> К</w:t>
      </w:r>
      <w:proofErr w:type="gramEnd"/>
      <w:r w:rsidRPr="002710F1">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2710F1" w:rsidRDefault="001A3AB4" w:rsidP="001A3AB4">
      <w:pPr>
        <w:ind w:firstLine="720"/>
        <w:jc w:val="both"/>
        <w:rPr>
          <w:sz w:val="22"/>
          <w:szCs w:val="22"/>
        </w:rPr>
      </w:pPr>
      <w:r w:rsidRPr="002710F1">
        <w:rPr>
          <w:sz w:val="22"/>
          <w:szCs w:val="22"/>
        </w:rPr>
        <w:t>При</w:t>
      </w:r>
      <w:proofErr w:type="gramStart"/>
      <w:r w:rsidRPr="002710F1">
        <w:rPr>
          <w:sz w:val="22"/>
          <w:szCs w:val="22"/>
        </w:rPr>
        <w:t xml:space="preserve"> К</w:t>
      </w:r>
      <w:proofErr w:type="gramEnd"/>
      <w:r w:rsidRPr="002710F1">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2710F1" w:rsidRDefault="006A6A69" w:rsidP="006A6A69">
      <w:pPr>
        <w:widowControl/>
        <w:ind w:firstLine="720"/>
        <w:jc w:val="both"/>
        <w:rPr>
          <w:sz w:val="22"/>
          <w:szCs w:val="22"/>
        </w:rPr>
      </w:pPr>
      <w:r w:rsidRPr="002710F1">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2710F1" w:rsidRPr="002710F1">
        <w:rPr>
          <w:sz w:val="22"/>
          <w:szCs w:val="22"/>
        </w:rPr>
        <w:t xml:space="preserve">, </w:t>
      </w:r>
      <w:r w:rsidR="002710F1" w:rsidRPr="002710F1">
        <w:rPr>
          <w:sz w:val="22"/>
          <w:szCs w:val="22"/>
        </w:rPr>
        <w:t>что составляет _______________</w:t>
      </w:r>
      <w:r w:rsidRPr="002710F1">
        <w:rPr>
          <w:sz w:val="22"/>
          <w:szCs w:val="22"/>
        </w:rPr>
        <w:t xml:space="preserve">. </w:t>
      </w:r>
    </w:p>
    <w:p w:rsidR="006A6A69" w:rsidRPr="002710F1" w:rsidRDefault="006A6A69" w:rsidP="006A6A69">
      <w:pPr>
        <w:pStyle w:val="a3"/>
        <w:spacing w:after="0"/>
        <w:jc w:val="both"/>
        <w:rPr>
          <w:sz w:val="22"/>
          <w:szCs w:val="22"/>
        </w:rPr>
      </w:pPr>
      <w:r w:rsidRPr="002710F1">
        <w:rPr>
          <w:sz w:val="22"/>
          <w:szCs w:val="22"/>
        </w:rPr>
        <w:t xml:space="preserve">4.5. Неустойка (штраф, пени) перечисляются </w:t>
      </w:r>
      <w:r w:rsidRPr="002710F1">
        <w:rPr>
          <w:bCs/>
          <w:sz w:val="22"/>
          <w:szCs w:val="22"/>
        </w:rPr>
        <w:t>Сторонами</w:t>
      </w:r>
      <w:r w:rsidRPr="002710F1">
        <w:rPr>
          <w:sz w:val="22"/>
          <w:szCs w:val="22"/>
        </w:rPr>
        <w:t xml:space="preserve"> в течение 10 дней с момента выставления соответствующей претензии на расчетный счет </w:t>
      </w:r>
      <w:r w:rsidRPr="002710F1">
        <w:rPr>
          <w:bCs/>
          <w:sz w:val="22"/>
          <w:szCs w:val="22"/>
        </w:rPr>
        <w:t>Стороны</w:t>
      </w:r>
      <w:r w:rsidRPr="002710F1">
        <w:rPr>
          <w:sz w:val="22"/>
          <w:szCs w:val="22"/>
        </w:rPr>
        <w:t>, указанный в претензии. Уплата неустойки не освобождает Стороны от выполнения своих обязательств в натуре.</w:t>
      </w:r>
    </w:p>
    <w:p w:rsidR="006A6A69" w:rsidRPr="002710F1" w:rsidRDefault="006A6A69" w:rsidP="006A6A69">
      <w:pPr>
        <w:pStyle w:val="a3"/>
        <w:spacing w:after="0"/>
        <w:jc w:val="both"/>
        <w:rPr>
          <w:sz w:val="22"/>
          <w:szCs w:val="22"/>
        </w:rPr>
      </w:pPr>
      <w:r w:rsidRPr="002710F1">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710F1" w:rsidRDefault="006A6A69" w:rsidP="006A6A69">
      <w:pPr>
        <w:jc w:val="both"/>
        <w:rPr>
          <w:sz w:val="22"/>
          <w:szCs w:val="22"/>
        </w:rPr>
      </w:pPr>
      <w:r w:rsidRPr="002710F1">
        <w:rPr>
          <w:color w:val="000000"/>
          <w:sz w:val="22"/>
          <w:szCs w:val="22"/>
        </w:rPr>
        <w:t xml:space="preserve">4.7. </w:t>
      </w:r>
      <w:r w:rsidRPr="002710F1">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710F1">
        <w:rPr>
          <w:sz w:val="22"/>
          <w:szCs w:val="22"/>
        </w:rPr>
        <w:t xml:space="preserve">4.8. </w:t>
      </w:r>
      <w:proofErr w:type="gramStart"/>
      <w:r w:rsidRPr="002710F1">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w:t>
      </w:r>
      <w:r w:rsidRPr="00230474">
        <w:rPr>
          <w:sz w:val="22"/>
          <w:szCs w:val="22"/>
        </w:rPr>
        <w:t xml:space="preserve">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w:t>
      </w:r>
      <w:r w:rsidR="002710F1">
        <w:rPr>
          <w:sz w:val="22"/>
          <w:szCs w:val="22"/>
        </w:rPr>
        <w:t xml:space="preserve"> в силу с момента заключения и </w:t>
      </w:r>
      <w:r w:rsidRPr="00230474">
        <w:rPr>
          <w:sz w:val="22"/>
          <w:szCs w:val="22"/>
        </w:rPr>
        <w:t xml:space="preserve">действует </w:t>
      </w:r>
      <w:r w:rsidR="002710F1">
        <w:rPr>
          <w:sz w:val="22"/>
          <w:szCs w:val="22"/>
        </w:rPr>
        <w:t>до 31.12.2015</w:t>
      </w:r>
      <w:r w:rsidRPr="00230474">
        <w:rPr>
          <w:sz w:val="22"/>
          <w:szCs w:val="22"/>
        </w:rPr>
        <w:t>.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w:t>
      </w:r>
      <w:r w:rsidR="002710F1" w:rsidRPr="002710F1">
        <w:rPr>
          <w:sz w:val="22"/>
          <w:szCs w:val="22"/>
        </w:rPr>
        <w:t xml:space="preserve"> </w:t>
      </w:r>
      <w:r w:rsidR="002710F1" w:rsidRPr="002710F1">
        <w:rPr>
          <w:sz w:val="22"/>
          <w:szCs w:val="22"/>
        </w:rPr>
        <w:t>«</w:t>
      </w:r>
      <w:r w:rsidR="002710F1" w:rsidRPr="002710F1">
        <w:rPr>
          <w:rFonts w:eastAsia="Calibri"/>
          <w:sz w:val="22"/>
          <w:szCs w:val="22"/>
        </w:rPr>
        <w:t>О контрактной системе в сфере закупок товаров, работ, услуг для обеспечения государственных и муниципальных нужд</w:t>
      </w:r>
      <w:r w:rsidR="002710F1" w:rsidRPr="002710F1">
        <w:rPr>
          <w:sz w:val="22"/>
          <w:szCs w:val="22"/>
        </w:rPr>
        <w:t>».</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lastRenderedPageBreak/>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Детский сад</w:t>
      </w:r>
      <w:r w:rsidR="00BF4A84">
        <w:rPr>
          <w:sz w:val="22"/>
          <w:szCs w:val="22"/>
        </w:rPr>
        <w:t xml:space="preserve"> комбинированного вида  № 193</w:t>
      </w:r>
      <w:r>
        <w:rPr>
          <w:sz w:val="22"/>
          <w:szCs w:val="22"/>
        </w:rPr>
        <w:t>»</w:t>
      </w:r>
    </w:p>
    <w:p w:rsidR="006A6A69" w:rsidRPr="00230474" w:rsidRDefault="00BF4A84" w:rsidP="006A6A69">
      <w:pPr>
        <w:rPr>
          <w:sz w:val="22"/>
          <w:szCs w:val="22"/>
        </w:rPr>
      </w:pPr>
      <w:r>
        <w:rPr>
          <w:sz w:val="22"/>
          <w:szCs w:val="22"/>
        </w:rPr>
        <w:t>Адрес: 153009</w:t>
      </w:r>
      <w:r w:rsidR="006A6A69" w:rsidRPr="00230474">
        <w:rPr>
          <w:sz w:val="22"/>
          <w:szCs w:val="22"/>
        </w:rPr>
        <w:t xml:space="preserve">, г. Иваново, ул. </w:t>
      </w:r>
      <w:r>
        <w:rPr>
          <w:sz w:val="22"/>
          <w:szCs w:val="22"/>
        </w:rPr>
        <w:t xml:space="preserve">2-я </w:t>
      </w:r>
      <w:proofErr w:type="gramStart"/>
      <w:r>
        <w:rPr>
          <w:sz w:val="22"/>
          <w:szCs w:val="22"/>
        </w:rPr>
        <w:t>Полевая</w:t>
      </w:r>
      <w:proofErr w:type="gramEnd"/>
      <w:r w:rsidR="006A6A69" w:rsidRPr="00230474">
        <w:rPr>
          <w:sz w:val="22"/>
          <w:szCs w:val="22"/>
        </w:rPr>
        <w:t>, д.</w:t>
      </w:r>
      <w:r>
        <w:rPr>
          <w:sz w:val="22"/>
          <w:szCs w:val="22"/>
        </w:rPr>
        <w:t>61</w:t>
      </w:r>
    </w:p>
    <w:p w:rsidR="006A6A69" w:rsidRPr="00230474" w:rsidRDefault="006A6A69" w:rsidP="006A6A69">
      <w:pPr>
        <w:jc w:val="both"/>
        <w:rPr>
          <w:sz w:val="22"/>
          <w:szCs w:val="22"/>
        </w:rPr>
      </w:pPr>
      <w:r w:rsidRPr="00230474">
        <w:rPr>
          <w:sz w:val="22"/>
          <w:szCs w:val="22"/>
        </w:rPr>
        <w:t xml:space="preserve">ИНН </w:t>
      </w:r>
      <w:r w:rsidR="00BF4A84">
        <w:rPr>
          <w:sz w:val="24"/>
          <w:szCs w:val="24"/>
        </w:rPr>
        <w:t>3702004717</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BF4A84">
        <w:rPr>
          <w:sz w:val="22"/>
          <w:szCs w:val="22"/>
        </w:rPr>
        <w:t xml:space="preserve">Н.К. </w:t>
      </w:r>
      <w:proofErr w:type="spellStart"/>
      <w:r w:rsidR="00BF4A84">
        <w:rPr>
          <w:sz w:val="22"/>
          <w:szCs w:val="22"/>
        </w:rPr>
        <w:t>Начинкина</w:t>
      </w:r>
      <w:proofErr w:type="spellEnd"/>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FAE" w:rsidRDefault="00681FAE" w:rsidP="006A6A69">
      <w:r>
        <w:separator/>
      </w:r>
    </w:p>
  </w:endnote>
  <w:endnote w:type="continuationSeparator" w:id="0">
    <w:p w:rsidR="00681FAE" w:rsidRDefault="00681FAE"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FAE" w:rsidRDefault="00681FAE" w:rsidP="006A6A69">
      <w:r>
        <w:separator/>
      </w:r>
    </w:p>
  </w:footnote>
  <w:footnote w:type="continuationSeparator" w:id="0">
    <w:p w:rsidR="00681FAE" w:rsidRDefault="00681FAE"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0A35BE"/>
    <w:rsid w:val="001A3AB4"/>
    <w:rsid w:val="001C1D4D"/>
    <w:rsid w:val="002001E5"/>
    <w:rsid w:val="00251472"/>
    <w:rsid w:val="002710F1"/>
    <w:rsid w:val="002C7942"/>
    <w:rsid w:val="0058790E"/>
    <w:rsid w:val="005E79B3"/>
    <w:rsid w:val="00681FAE"/>
    <w:rsid w:val="006A6A69"/>
    <w:rsid w:val="00733A43"/>
    <w:rsid w:val="0076147C"/>
    <w:rsid w:val="008B53EC"/>
    <w:rsid w:val="008C17DE"/>
    <w:rsid w:val="008E7B1E"/>
    <w:rsid w:val="00914055"/>
    <w:rsid w:val="00931411"/>
    <w:rsid w:val="0098686A"/>
    <w:rsid w:val="00A038BE"/>
    <w:rsid w:val="00AA6AFF"/>
    <w:rsid w:val="00B54C24"/>
    <w:rsid w:val="00B7491B"/>
    <w:rsid w:val="00BF4A84"/>
    <w:rsid w:val="00C05315"/>
    <w:rsid w:val="00C93D74"/>
    <w:rsid w:val="00D37698"/>
    <w:rsid w:val="00E41C37"/>
    <w:rsid w:val="00E717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Pages>
  <Words>3166</Words>
  <Characters>18049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Анна Александровна Плечкина</cp:lastModifiedBy>
  <cp:revision>19</cp:revision>
  <dcterms:created xsi:type="dcterms:W3CDTF">2015-03-25T09:06:00Z</dcterms:created>
  <dcterms:modified xsi:type="dcterms:W3CDTF">2015-06-19T12:46:00Z</dcterms:modified>
</cp:coreProperties>
</file>