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9E" w:rsidRDefault="00D02F9E" w:rsidP="00D02F9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D02F9E" w:rsidRDefault="00D02F9E" w:rsidP="00D02F9E">
      <w:pPr>
        <w:jc w:val="center"/>
        <w:rPr>
          <w:b/>
          <w:sz w:val="22"/>
          <w:szCs w:val="22"/>
        </w:rPr>
      </w:pPr>
    </w:p>
    <w:p w:rsidR="00D02F9E" w:rsidRPr="0082390F" w:rsidRDefault="00D02F9E" w:rsidP="00D02F9E">
      <w:pPr>
        <w:jc w:val="center"/>
        <w:rPr>
          <w:b/>
          <w:color w:val="000000"/>
          <w:kern w:val="1"/>
          <w:sz w:val="22"/>
          <w:szCs w:val="22"/>
        </w:rPr>
      </w:pPr>
      <w:r>
        <w:rPr>
          <w:b/>
          <w:color w:val="000000"/>
          <w:kern w:val="1"/>
          <w:sz w:val="22"/>
          <w:szCs w:val="22"/>
        </w:rPr>
        <w:t>Р</w:t>
      </w:r>
      <w:r w:rsidRPr="0082390F">
        <w:rPr>
          <w:b/>
          <w:color w:val="000000"/>
          <w:kern w:val="1"/>
          <w:sz w:val="22"/>
          <w:szCs w:val="22"/>
        </w:rPr>
        <w:t>азработка интернет портала в сфере земельно-имущественных отношений</w:t>
      </w:r>
    </w:p>
    <w:p w:rsidR="00D02F9E" w:rsidRPr="005C689E" w:rsidRDefault="00D02F9E" w:rsidP="00D02F9E">
      <w:pPr>
        <w:jc w:val="both"/>
        <w:rPr>
          <w:b/>
          <w:color w:val="000000"/>
          <w:kern w:val="1"/>
          <w:sz w:val="22"/>
          <w:szCs w:val="22"/>
        </w:rPr>
      </w:pPr>
    </w:p>
    <w:p w:rsidR="00D02F9E" w:rsidRDefault="00D02F9E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538"/>
        <w:gridCol w:w="2517"/>
      </w:tblGrid>
      <w:tr w:rsidR="00120E18" w:rsidRPr="006D0CAA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06EB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17" w:type="dxa"/>
          </w:tcPr>
          <w:p w:rsidR="00120E18" w:rsidRPr="006D0CAA" w:rsidRDefault="00120E18" w:rsidP="008A439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6D0CAA">
              <w:rPr>
                <w:sz w:val="24"/>
                <w:szCs w:val="24"/>
              </w:rPr>
              <w:t>Срок окончания</w:t>
            </w: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  <w:r w:rsidRPr="00106EBB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106EBB">
              <w:rPr>
                <w:sz w:val="24"/>
                <w:szCs w:val="24"/>
              </w:rPr>
              <w:t>SharePoi</w:t>
            </w:r>
            <w:proofErr w:type="spellEnd"/>
            <w:r w:rsidRPr="00106EBB">
              <w:rPr>
                <w:sz w:val="24"/>
                <w:szCs w:val="24"/>
                <w:lang w:val="en-US"/>
              </w:rPr>
              <w:t>n</w:t>
            </w:r>
            <w:r w:rsidRPr="00106EBB">
              <w:rPr>
                <w:sz w:val="24"/>
                <w:szCs w:val="24"/>
              </w:rPr>
              <w:t xml:space="preserve">t </w:t>
            </w:r>
            <w:proofErr w:type="spellStart"/>
            <w:r w:rsidRPr="00106EBB">
              <w:rPr>
                <w:sz w:val="24"/>
                <w:szCs w:val="24"/>
              </w:rPr>
              <w:t>Foundation</w:t>
            </w:r>
            <w:proofErr w:type="spellEnd"/>
            <w:r w:rsidRPr="00106EBB">
              <w:rPr>
                <w:sz w:val="24"/>
                <w:szCs w:val="24"/>
              </w:rPr>
              <w:t> 2010</w:t>
            </w:r>
            <w:r w:rsidR="008A439A" w:rsidRPr="008A439A">
              <w:rPr>
                <w:sz w:val="24"/>
                <w:szCs w:val="24"/>
              </w:rPr>
              <w:t>*</w:t>
            </w:r>
            <w:r w:rsidRPr="00106EBB">
              <w:rPr>
                <w:sz w:val="24"/>
                <w:szCs w:val="24"/>
              </w:rPr>
              <w:t xml:space="preserve"> и организация доступа к нему анонимным пользователям Интернет</w:t>
            </w:r>
          </w:p>
        </w:tc>
        <w:tc>
          <w:tcPr>
            <w:tcW w:w="2517" w:type="dxa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  <w:vMerge w:val="restart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  <w:r w:rsidRPr="00106EBB">
              <w:rPr>
                <w:sz w:val="24"/>
                <w:szCs w:val="24"/>
              </w:rPr>
              <w:t xml:space="preserve">Создание шаблона внешнего сайта </w:t>
            </w:r>
            <w:proofErr w:type="spellStart"/>
            <w:r w:rsidRPr="00106EBB">
              <w:rPr>
                <w:sz w:val="24"/>
                <w:szCs w:val="24"/>
              </w:rPr>
              <w:t>SharePoi</w:t>
            </w:r>
            <w:proofErr w:type="spellEnd"/>
            <w:r w:rsidRPr="00106EBB">
              <w:rPr>
                <w:sz w:val="24"/>
                <w:szCs w:val="24"/>
                <w:lang w:val="en-US"/>
              </w:rPr>
              <w:t>n</w:t>
            </w:r>
            <w:r w:rsidRPr="00106EBB">
              <w:rPr>
                <w:sz w:val="24"/>
                <w:szCs w:val="24"/>
              </w:rPr>
              <w:t xml:space="preserve">t </w:t>
            </w:r>
            <w:proofErr w:type="spellStart"/>
            <w:r w:rsidRPr="00106EBB">
              <w:rPr>
                <w:sz w:val="24"/>
                <w:szCs w:val="24"/>
              </w:rPr>
              <w:t>Foundation</w:t>
            </w:r>
            <w:proofErr w:type="spellEnd"/>
            <w:r w:rsidRPr="00106EBB">
              <w:rPr>
                <w:sz w:val="24"/>
                <w:szCs w:val="24"/>
              </w:rPr>
              <w:t> 2010</w:t>
            </w:r>
          </w:p>
        </w:tc>
        <w:tc>
          <w:tcPr>
            <w:tcW w:w="2517" w:type="dxa"/>
            <w:vMerge w:val="restart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  <w:vMerge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EF28F3" w:rsidRDefault="00120E18" w:rsidP="00D02F9E">
            <w:pPr>
              <w:pStyle w:val="a4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ind w:left="0" w:firstLine="567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О комитете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Структура Комитета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Правовые основы деятельности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История Комитета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Руководство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Контакты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Итоги работы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Государственные услуги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proofErr w:type="gramStart"/>
            <w:r w:rsidRPr="00EF28F3">
              <w:rPr>
                <w:lang w:val="ru-RU" w:eastAsia="ru-RU"/>
              </w:rPr>
              <w:t>Предоставляемые</w:t>
            </w:r>
            <w:proofErr w:type="gramEnd"/>
            <w:r w:rsidRPr="00EF28F3">
              <w:rPr>
                <w:lang w:val="ru-RU" w:eastAsia="ru-RU"/>
              </w:rPr>
              <w:t xml:space="preserve"> Комитетом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jc w:val="left"/>
              <w:rPr>
                <w:lang w:val="ru-RU" w:eastAsia="ru-RU"/>
              </w:rPr>
            </w:pPr>
            <w:proofErr w:type="gramStart"/>
            <w:r w:rsidRPr="00EF28F3">
              <w:rPr>
                <w:lang w:val="ru-RU" w:eastAsia="ru-RU"/>
              </w:rPr>
              <w:t>Предоставляемые</w:t>
            </w:r>
            <w:proofErr w:type="gramEnd"/>
            <w:r w:rsidRPr="00EF28F3">
              <w:rPr>
                <w:lang w:val="ru-RU" w:eastAsia="ru-RU"/>
              </w:rPr>
              <w:t xml:space="preserve"> на базе МФЦ </w:t>
            </w:r>
          </w:p>
          <w:p w:rsidR="00120E18" w:rsidRPr="00EF28F3" w:rsidRDefault="00120E18" w:rsidP="008A439A">
            <w:pPr>
              <w:pStyle w:val="a4"/>
              <w:tabs>
                <w:tab w:val="left" w:pos="1230"/>
              </w:tabs>
              <w:ind w:firstLine="680"/>
              <w:rPr>
                <w:lang w:val="ru-RU" w:eastAsia="ru-RU"/>
              </w:rPr>
            </w:pPr>
          </w:p>
          <w:p w:rsidR="00120E18" w:rsidRPr="00EF28F3" w:rsidRDefault="00120E18" w:rsidP="00D02F9E">
            <w:pPr>
              <w:pStyle w:val="a4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ind w:left="0" w:firstLine="567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Документы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Нормативно-правовые акты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Административные регламенты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Проекты правовых актов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Установленные формы обращений </w:t>
            </w:r>
          </w:p>
          <w:p w:rsidR="00120E18" w:rsidRPr="00EF28F3" w:rsidRDefault="00120E18" w:rsidP="008A439A">
            <w:pPr>
              <w:pStyle w:val="a4"/>
              <w:tabs>
                <w:tab w:val="left" w:pos="1230"/>
              </w:tabs>
              <w:rPr>
                <w:lang w:val="ru-RU" w:eastAsia="ru-RU"/>
              </w:rPr>
            </w:pPr>
          </w:p>
          <w:p w:rsidR="00120E18" w:rsidRPr="00EF28F3" w:rsidRDefault="00120E18" w:rsidP="00D02F9E">
            <w:pPr>
              <w:pStyle w:val="a4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ind w:left="0" w:firstLine="567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Деятельность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Аренда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Аренда земельных участков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Аренда нежилого фонда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Приватизация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>
              <w:rPr>
                <w:lang w:val="ru-RU" w:eastAsia="ru-RU"/>
              </w:rPr>
              <w:t>Приватизация М</w:t>
            </w:r>
            <w:r w:rsidRPr="00EF28F3">
              <w:rPr>
                <w:lang w:val="ru-RU" w:eastAsia="ru-RU"/>
              </w:rPr>
              <w:t xml:space="preserve">УП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Выкуп земельных участков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Продажа нежилого фонда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Пакеты акций и вклады </w:t>
            </w:r>
          </w:p>
          <w:p w:rsidR="00120E18" w:rsidRPr="00EF28F3" w:rsidRDefault="00120E18" w:rsidP="00D02F9E">
            <w:pPr>
              <w:pStyle w:val="a4"/>
              <w:numPr>
                <w:ilvl w:val="0"/>
                <w:numId w:val="3"/>
              </w:numPr>
              <w:tabs>
                <w:tab w:val="left" w:pos="1230"/>
              </w:tabs>
              <w:ind w:left="567" w:firstLine="284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Объекты продаж </w:t>
            </w:r>
          </w:p>
          <w:p w:rsidR="00120E18" w:rsidRPr="00EF28F3" w:rsidRDefault="00120E18" w:rsidP="008A439A">
            <w:pPr>
              <w:pStyle w:val="a4"/>
              <w:tabs>
                <w:tab w:val="left" w:pos="1230"/>
              </w:tabs>
              <w:ind w:firstLine="680"/>
              <w:rPr>
                <w:lang w:val="ru-RU" w:eastAsia="ru-RU"/>
              </w:rPr>
            </w:pPr>
          </w:p>
          <w:p w:rsidR="00120E18" w:rsidRPr="00EF28F3" w:rsidRDefault="00120E18" w:rsidP="00D02F9E">
            <w:pPr>
              <w:pStyle w:val="a4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ind w:left="0" w:firstLine="567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Реестр </w:t>
            </w:r>
          </w:p>
          <w:p w:rsidR="00120E18" w:rsidRPr="00EF28F3" w:rsidRDefault="00120E18" w:rsidP="00D02F9E">
            <w:pPr>
              <w:pStyle w:val="a4"/>
              <w:numPr>
                <w:ilvl w:val="2"/>
                <w:numId w:val="2"/>
              </w:numPr>
              <w:tabs>
                <w:tab w:val="left" w:pos="1230"/>
              </w:tabs>
              <w:ind w:left="709" w:firstLine="142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Безвозмездная передача государственного и муниципального имущества </w:t>
            </w:r>
          </w:p>
          <w:p w:rsidR="00120E18" w:rsidRPr="00EF28F3" w:rsidRDefault="00120E18" w:rsidP="00D02F9E">
            <w:pPr>
              <w:pStyle w:val="a4"/>
              <w:numPr>
                <w:ilvl w:val="2"/>
                <w:numId w:val="2"/>
              </w:numPr>
              <w:tabs>
                <w:tab w:val="left" w:pos="1230"/>
              </w:tabs>
              <w:ind w:left="709" w:firstLine="142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Обеспечение государственной регистрации права собственности г. Иваново </w:t>
            </w:r>
          </w:p>
          <w:p w:rsidR="00120E18" w:rsidRPr="00EF28F3" w:rsidRDefault="00120E18" w:rsidP="00D02F9E">
            <w:pPr>
              <w:pStyle w:val="a4"/>
              <w:numPr>
                <w:ilvl w:val="2"/>
                <w:numId w:val="2"/>
              </w:numPr>
              <w:tabs>
                <w:tab w:val="left" w:pos="1230"/>
              </w:tabs>
              <w:ind w:left="709" w:firstLine="142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 xml:space="preserve">Реестр собственности г. Иваново </w:t>
            </w:r>
          </w:p>
          <w:p w:rsidR="00120E18" w:rsidRPr="00EF28F3" w:rsidRDefault="00120E18" w:rsidP="008A439A">
            <w:pPr>
              <w:pStyle w:val="a4"/>
              <w:tabs>
                <w:tab w:val="left" w:pos="1230"/>
              </w:tabs>
              <w:ind w:firstLine="680"/>
              <w:rPr>
                <w:lang w:val="ru-RU" w:eastAsia="ru-RU"/>
              </w:rPr>
            </w:pPr>
          </w:p>
          <w:p w:rsidR="00120E18" w:rsidRPr="00EF28F3" w:rsidRDefault="00120E18" w:rsidP="00D02F9E">
            <w:pPr>
              <w:pStyle w:val="a4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ind w:left="0" w:firstLine="567"/>
              <w:rPr>
                <w:lang w:val="ru-RU" w:eastAsia="ru-RU"/>
              </w:rPr>
            </w:pPr>
            <w:proofErr w:type="spellStart"/>
            <w:r w:rsidRPr="00EF28F3">
              <w:rPr>
                <w:lang w:val="ru-RU" w:eastAsia="ru-RU"/>
              </w:rPr>
              <w:lastRenderedPageBreak/>
              <w:t>Инфосервисы</w:t>
            </w:r>
            <w:proofErr w:type="spellEnd"/>
          </w:p>
          <w:p w:rsidR="00120E18" w:rsidRPr="00EF28F3" w:rsidRDefault="00120E18" w:rsidP="00D02F9E">
            <w:pPr>
              <w:pStyle w:val="a4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709" w:firstLine="142"/>
              <w:jc w:val="left"/>
              <w:rPr>
                <w:lang w:val="ru-RU" w:eastAsia="ru-RU"/>
              </w:rPr>
            </w:pPr>
            <w:r w:rsidRPr="00EF28F3">
              <w:rPr>
                <w:lang w:val="ru-RU" w:eastAsia="ru-RU"/>
              </w:rPr>
              <w:t>Информация для плательщика</w:t>
            </w:r>
          </w:p>
          <w:p w:rsidR="00120E18" w:rsidRPr="00106EBB" w:rsidRDefault="00120E18" w:rsidP="008A439A">
            <w:pPr>
              <w:spacing w:after="200"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120E18" w:rsidRPr="006D0CAA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  <w:r w:rsidRPr="00106EBB">
              <w:rPr>
                <w:sz w:val="24"/>
                <w:szCs w:val="24"/>
              </w:rPr>
              <w:t xml:space="preserve">Создание списков на </w:t>
            </w:r>
            <w:proofErr w:type="spellStart"/>
            <w:r w:rsidRPr="00106EBB">
              <w:rPr>
                <w:sz w:val="24"/>
                <w:szCs w:val="24"/>
              </w:rPr>
              <w:t>SharePoi</w:t>
            </w:r>
            <w:proofErr w:type="spellEnd"/>
            <w:r w:rsidRPr="00106EBB">
              <w:rPr>
                <w:sz w:val="24"/>
                <w:szCs w:val="24"/>
                <w:lang w:val="en-US"/>
              </w:rPr>
              <w:t>n</w:t>
            </w:r>
            <w:r w:rsidRPr="00106EBB">
              <w:rPr>
                <w:sz w:val="24"/>
                <w:szCs w:val="24"/>
              </w:rPr>
              <w:t xml:space="preserve">t </w:t>
            </w:r>
            <w:proofErr w:type="spellStart"/>
            <w:r w:rsidRPr="00106EBB">
              <w:rPr>
                <w:sz w:val="24"/>
                <w:szCs w:val="24"/>
              </w:rPr>
              <w:t>Server</w:t>
            </w:r>
            <w:proofErr w:type="spellEnd"/>
            <w:r w:rsidRPr="00106EBB">
              <w:rPr>
                <w:sz w:val="24"/>
                <w:szCs w:val="24"/>
              </w:rPr>
              <w:t xml:space="preserve"> 2010 (заказчика) для синхронизации с </w:t>
            </w:r>
            <w:proofErr w:type="spellStart"/>
            <w:r w:rsidRPr="00106EBB">
              <w:rPr>
                <w:sz w:val="24"/>
                <w:szCs w:val="24"/>
              </w:rPr>
              <w:t>SharePoi</w:t>
            </w:r>
            <w:proofErr w:type="spellEnd"/>
            <w:r w:rsidRPr="00106EBB">
              <w:rPr>
                <w:sz w:val="24"/>
                <w:szCs w:val="24"/>
                <w:lang w:val="en-US"/>
              </w:rPr>
              <w:t>n</w:t>
            </w:r>
            <w:r w:rsidRPr="00106EBB">
              <w:rPr>
                <w:sz w:val="24"/>
                <w:szCs w:val="24"/>
              </w:rPr>
              <w:t xml:space="preserve">t </w:t>
            </w:r>
            <w:proofErr w:type="spellStart"/>
            <w:r w:rsidRPr="00106EBB">
              <w:rPr>
                <w:sz w:val="24"/>
                <w:szCs w:val="24"/>
              </w:rPr>
              <w:t>Foundation</w:t>
            </w:r>
            <w:proofErr w:type="spellEnd"/>
            <w:r w:rsidRPr="00106EBB">
              <w:rPr>
                <w:sz w:val="24"/>
                <w:szCs w:val="24"/>
              </w:rPr>
              <w:t xml:space="preserve"> 2010 </w:t>
            </w:r>
          </w:p>
        </w:tc>
        <w:tc>
          <w:tcPr>
            <w:tcW w:w="2517" w:type="dxa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  <w:tr w:rsidR="00120E18" w:rsidRPr="00567407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106EBB">
              <w:rPr>
                <w:sz w:val="24"/>
                <w:szCs w:val="24"/>
              </w:rPr>
              <w:t>Создание</w:t>
            </w:r>
            <w:r w:rsidRPr="00106EBB">
              <w:rPr>
                <w:sz w:val="24"/>
                <w:szCs w:val="24"/>
                <w:lang w:val="en-US"/>
              </w:rPr>
              <w:t xml:space="preserve"> </w:t>
            </w:r>
            <w:r w:rsidRPr="00106EBB">
              <w:rPr>
                <w:sz w:val="24"/>
                <w:szCs w:val="24"/>
              </w:rPr>
              <w:t>модуля</w:t>
            </w:r>
            <w:r w:rsidRPr="00106EBB">
              <w:rPr>
                <w:sz w:val="24"/>
                <w:szCs w:val="24"/>
                <w:lang w:val="en-US"/>
              </w:rPr>
              <w:t xml:space="preserve"> </w:t>
            </w:r>
            <w:r w:rsidRPr="00106EBB">
              <w:rPr>
                <w:sz w:val="24"/>
                <w:szCs w:val="24"/>
              </w:rPr>
              <w:t>синхронизации</w:t>
            </w:r>
            <w:r w:rsidRPr="00106EBB">
              <w:rPr>
                <w:sz w:val="24"/>
                <w:szCs w:val="24"/>
                <w:lang w:val="en-US"/>
              </w:rPr>
              <w:t xml:space="preserve"> </w:t>
            </w:r>
            <w:r w:rsidRPr="00106EBB">
              <w:rPr>
                <w:sz w:val="24"/>
                <w:szCs w:val="24"/>
              </w:rPr>
              <w:t>списков</w:t>
            </w:r>
            <w:r w:rsidRPr="00106EBB">
              <w:rPr>
                <w:sz w:val="24"/>
                <w:szCs w:val="24"/>
                <w:lang w:val="en-US"/>
              </w:rPr>
              <w:t xml:space="preserve"> SharePoint Server 2010 -&gt; SharePoint Foundation 2010</w:t>
            </w:r>
          </w:p>
        </w:tc>
        <w:tc>
          <w:tcPr>
            <w:tcW w:w="2517" w:type="dxa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spacing w:after="200" w:line="276" w:lineRule="auto"/>
              <w:rPr>
                <w:sz w:val="24"/>
                <w:szCs w:val="24"/>
              </w:rPr>
            </w:pPr>
            <w:r w:rsidRPr="00106EBB">
              <w:rPr>
                <w:sz w:val="24"/>
                <w:szCs w:val="24"/>
              </w:rPr>
              <w:t>Документация (инструкции пользователей)</w:t>
            </w:r>
          </w:p>
        </w:tc>
        <w:tc>
          <w:tcPr>
            <w:tcW w:w="2517" w:type="dxa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  <w:tr w:rsidR="00120E18" w:rsidRPr="006D0CAA" w:rsidTr="00120E18">
        <w:trPr>
          <w:trHeight w:val="147"/>
        </w:trPr>
        <w:tc>
          <w:tcPr>
            <w:tcW w:w="1135" w:type="dxa"/>
          </w:tcPr>
          <w:p w:rsidR="00120E18" w:rsidRPr="006D0CAA" w:rsidRDefault="00120E18" w:rsidP="00D02F9E">
            <w:pPr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38" w:type="dxa"/>
          </w:tcPr>
          <w:p w:rsidR="00120E18" w:rsidRPr="00106EBB" w:rsidRDefault="00120E18" w:rsidP="008A439A">
            <w:pPr>
              <w:pStyle w:val="a"/>
              <w:numPr>
                <w:ilvl w:val="0"/>
                <w:numId w:val="0"/>
              </w:numPr>
              <w:ind w:left="34" w:hanging="34"/>
              <w:jc w:val="left"/>
            </w:pPr>
            <w:r w:rsidRPr="00106EBB">
              <w:t>Консультационная поддержка специалистов управления, обеспечивающего функционирование ИС, и пользователей системы</w:t>
            </w:r>
          </w:p>
        </w:tc>
        <w:tc>
          <w:tcPr>
            <w:tcW w:w="2517" w:type="dxa"/>
          </w:tcPr>
          <w:p w:rsidR="00120E18" w:rsidRDefault="00120E18" w:rsidP="008A439A">
            <w:r w:rsidRPr="00A65F03">
              <w:t>В течение 5 дней с момента заключения муниципального контракта</w:t>
            </w:r>
          </w:p>
        </w:tc>
      </w:tr>
    </w:tbl>
    <w:p w:rsidR="00D02F9E" w:rsidRPr="008A439A" w:rsidRDefault="008A439A" w:rsidP="00D02F9E">
      <w:pPr>
        <w:tabs>
          <w:tab w:val="left" w:pos="-180"/>
        </w:tabs>
        <w:jc w:val="both"/>
        <w:rPr>
          <w:b/>
          <w:color w:val="000000"/>
          <w:spacing w:val="-1"/>
          <w:sz w:val="24"/>
          <w:szCs w:val="24"/>
        </w:rPr>
      </w:pPr>
      <w:r w:rsidRPr="00010E05">
        <w:rPr>
          <w:b/>
          <w:color w:val="000000"/>
          <w:spacing w:val="-1"/>
          <w:sz w:val="36"/>
          <w:szCs w:val="36"/>
        </w:rPr>
        <w:t>*</w:t>
      </w:r>
      <w:r w:rsidRPr="008A439A">
        <w:rPr>
          <w:b/>
          <w:color w:val="000000"/>
          <w:spacing w:val="-1"/>
          <w:sz w:val="24"/>
          <w:szCs w:val="24"/>
        </w:rPr>
        <w:t xml:space="preserve">-эквивалент недопустим в связи с необходимостью совместимости </w:t>
      </w:r>
      <w:r w:rsidR="00010E05">
        <w:rPr>
          <w:b/>
          <w:color w:val="000000"/>
          <w:spacing w:val="-1"/>
          <w:sz w:val="24"/>
          <w:szCs w:val="24"/>
        </w:rPr>
        <w:t>с используемым</w:t>
      </w:r>
      <w:r w:rsidRPr="008A439A">
        <w:rPr>
          <w:b/>
          <w:color w:val="000000"/>
          <w:spacing w:val="-1"/>
          <w:sz w:val="24"/>
          <w:szCs w:val="24"/>
        </w:rPr>
        <w:t xml:space="preserve"> программным обеспечением</w:t>
      </w:r>
    </w:p>
    <w:p w:rsidR="00D02F9E" w:rsidRDefault="00D02F9E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  <w:bookmarkStart w:id="0" w:name="_GoBack"/>
      <w:bookmarkEnd w:id="0"/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010E05" w:rsidRDefault="00010E05" w:rsidP="00D02F9E">
      <w:pPr>
        <w:tabs>
          <w:tab w:val="left" w:pos="-180"/>
        </w:tabs>
        <w:jc w:val="both"/>
        <w:rPr>
          <w:color w:val="000000"/>
          <w:spacing w:val="-1"/>
        </w:rPr>
      </w:pPr>
    </w:p>
    <w:p w:rsidR="00D02F9E" w:rsidRPr="00C018F5" w:rsidRDefault="00D02F9E" w:rsidP="00D02F9E">
      <w:pPr>
        <w:ind w:firstLine="680"/>
        <w:jc w:val="center"/>
        <w:rPr>
          <w:b/>
          <w:sz w:val="24"/>
          <w:szCs w:val="24"/>
        </w:rPr>
      </w:pPr>
      <w:r w:rsidRPr="00C018F5">
        <w:rPr>
          <w:b/>
          <w:sz w:val="24"/>
          <w:szCs w:val="24"/>
        </w:rPr>
        <w:t>Нормы по соблюдению Исполнителем требований конкретных нормативно-правовых актов</w:t>
      </w:r>
    </w:p>
    <w:p w:rsidR="00D02F9E" w:rsidRDefault="00D02F9E" w:rsidP="00D02F9E">
      <w:pPr>
        <w:ind w:firstLine="680"/>
        <w:rPr>
          <w:sz w:val="24"/>
          <w:szCs w:val="24"/>
        </w:rPr>
      </w:pPr>
    </w:p>
    <w:p w:rsidR="00D02F9E" w:rsidRPr="003F06A5" w:rsidRDefault="00D02F9E" w:rsidP="00D02F9E">
      <w:pPr>
        <w:ind w:firstLine="680"/>
        <w:rPr>
          <w:sz w:val="24"/>
          <w:szCs w:val="24"/>
        </w:rPr>
      </w:pPr>
      <w:r w:rsidRPr="003F06A5">
        <w:rPr>
          <w:sz w:val="24"/>
          <w:szCs w:val="24"/>
        </w:rPr>
        <w:t xml:space="preserve">Оказание услуг должно осуществляться в соответствии с требованиями следующих законодательных и нормативных правовых актов и стандартов Российской Федерации, регулирующих отношения в сфере защиты информации: </w:t>
      </w:r>
    </w:p>
    <w:p w:rsidR="00D02F9E" w:rsidRPr="003F06A5" w:rsidRDefault="00D02F9E" w:rsidP="00D02F9E">
      <w:pPr>
        <w:numPr>
          <w:ilvl w:val="0"/>
          <w:numId w:val="7"/>
        </w:numPr>
        <w:ind w:left="0" w:firstLine="680"/>
        <w:jc w:val="both"/>
        <w:rPr>
          <w:sz w:val="24"/>
          <w:szCs w:val="24"/>
        </w:rPr>
      </w:pPr>
      <w:r w:rsidRPr="003F06A5">
        <w:rPr>
          <w:sz w:val="24"/>
          <w:szCs w:val="24"/>
        </w:rPr>
        <w:t>Федеральный закон от 27.07.2006 № 149-ФЗ «Об информации, информационных технологиях и о защите информации»;</w:t>
      </w:r>
    </w:p>
    <w:p w:rsidR="00D02F9E" w:rsidRPr="003F06A5" w:rsidRDefault="00D02F9E" w:rsidP="00D02F9E">
      <w:pPr>
        <w:numPr>
          <w:ilvl w:val="0"/>
          <w:numId w:val="7"/>
        </w:numPr>
        <w:ind w:left="0" w:firstLine="680"/>
        <w:jc w:val="both"/>
        <w:rPr>
          <w:sz w:val="24"/>
          <w:szCs w:val="24"/>
        </w:rPr>
      </w:pPr>
      <w:r w:rsidRPr="003F06A5">
        <w:rPr>
          <w:sz w:val="24"/>
          <w:szCs w:val="24"/>
        </w:rPr>
        <w:t>ГОСТ 34.201-89 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:rsidR="00D02F9E" w:rsidRPr="003F06A5" w:rsidRDefault="00D02F9E" w:rsidP="00D02F9E">
      <w:pPr>
        <w:numPr>
          <w:ilvl w:val="0"/>
          <w:numId w:val="7"/>
        </w:numPr>
        <w:ind w:left="0" w:firstLine="680"/>
        <w:jc w:val="both"/>
        <w:rPr>
          <w:sz w:val="24"/>
          <w:szCs w:val="24"/>
        </w:rPr>
      </w:pPr>
      <w:r w:rsidRPr="003F06A5">
        <w:rPr>
          <w:sz w:val="24"/>
          <w:szCs w:val="24"/>
        </w:rPr>
        <w:t>ГОСТ 34.003-90 «Информационная технология. Комплекс стандартов на автоматизированные системы. Автоматизированные системы. Термины и определения»;</w:t>
      </w:r>
    </w:p>
    <w:p w:rsidR="00D02F9E" w:rsidRPr="003F06A5" w:rsidRDefault="00D02F9E" w:rsidP="00D02F9E">
      <w:pPr>
        <w:numPr>
          <w:ilvl w:val="0"/>
          <w:numId w:val="7"/>
        </w:numPr>
        <w:ind w:left="0" w:firstLine="680"/>
        <w:jc w:val="both"/>
        <w:rPr>
          <w:sz w:val="24"/>
          <w:szCs w:val="24"/>
        </w:rPr>
      </w:pPr>
      <w:r w:rsidRPr="003F06A5">
        <w:rPr>
          <w:sz w:val="24"/>
          <w:szCs w:val="24"/>
        </w:rPr>
        <w:t>ГОСТ 34.601-90 «Информационная технология. Комплекс стандартов на автоматизированные системы. Автоматизированные системы. Стадии создания»;</w:t>
      </w:r>
    </w:p>
    <w:p w:rsidR="00D02F9E" w:rsidRPr="003F06A5" w:rsidRDefault="00D02F9E" w:rsidP="00D02F9E">
      <w:pPr>
        <w:numPr>
          <w:ilvl w:val="0"/>
          <w:numId w:val="7"/>
        </w:numPr>
        <w:ind w:left="0" w:firstLine="680"/>
        <w:jc w:val="both"/>
        <w:rPr>
          <w:sz w:val="24"/>
          <w:szCs w:val="24"/>
        </w:rPr>
      </w:pPr>
      <w:r w:rsidRPr="003F06A5">
        <w:rPr>
          <w:sz w:val="24"/>
          <w:szCs w:val="24"/>
        </w:rPr>
        <w:t>ГОСТ 34.602-89 ««Информационная технология. Комплекс стандартов на автоматизированные системы. Автоматизированные системы. Техническое задание на создание автоматизированной системы»;</w:t>
      </w:r>
    </w:p>
    <w:p w:rsidR="008A439A" w:rsidRDefault="008A439A"/>
    <w:sectPr w:rsidR="008A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414"/>
    <w:multiLevelType w:val="hybridMultilevel"/>
    <w:tmpl w:val="4CD27D38"/>
    <w:lvl w:ilvl="0" w:tplc="FFFFFFFF">
      <w:start w:val="1"/>
      <w:numFmt w:val="bullet"/>
      <w:pStyle w:val="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1C963EF"/>
    <w:multiLevelType w:val="hybridMultilevel"/>
    <w:tmpl w:val="CF5C9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84284"/>
    <w:multiLevelType w:val="hybridMultilevel"/>
    <w:tmpl w:val="FE944044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1974B0"/>
    <w:multiLevelType w:val="hybridMultilevel"/>
    <w:tmpl w:val="9EB4FFE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523CE"/>
    <w:multiLevelType w:val="hybridMultilevel"/>
    <w:tmpl w:val="7B4EE65A"/>
    <w:lvl w:ilvl="0" w:tplc="FFFFFFFF">
      <w:start w:val="1"/>
      <w:numFmt w:val="bullet"/>
      <w:lvlText w:val=""/>
      <w:lvlJc w:val="left"/>
      <w:pPr>
        <w:ind w:left="2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5">
    <w:nsid w:val="540D4CFB"/>
    <w:multiLevelType w:val="hybridMultilevel"/>
    <w:tmpl w:val="F042B4C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956F4E"/>
    <w:multiLevelType w:val="hybridMultilevel"/>
    <w:tmpl w:val="C6425B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9E"/>
    <w:rsid w:val="00010E05"/>
    <w:rsid w:val="00120E18"/>
    <w:rsid w:val="008A439A"/>
    <w:rsid w:val="00C54B49"/>
    <w:rsid w:val="00D02F9E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2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02F9E"/>
    <w:pPr>
      <w:tabs>
        <w:tab w:val="center" w:pos="4153"/>
        <w:tab w:val="right" w:pos="8306"/>
      </w:tabs>
      <w:ind w:firstLine="709"/>
      <w:jc w:val="both"/>
    </w:pPr>
    <w:rPr>
      <w:sz w:val="24"/>
      <w:lang w:val="x-none" w:eastAsia="x-none"/>
    </w:rPr>
  </w:style>
  <w:style w:type="character" w:customStyle="1" w:styleId="a5">
    <w:name w:val="Нижний колонтитул Знак"/>
    <w:basedOn w:val="a1"/>
    <w:link w:val="a4"/>
    <w:uiPriority w:val="99"/>
    <w:rsid w:val="00D02F9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">
    <w:name w:val="Маркированный"/>
    <w:basedOn w:val="a0"/>
    <w:autoRedefine/>
    <w:rsid w:val="00D02F9E"/>
    <w:pPr>
      <w:numPr>
        <w:numId w:val="6"/>
      </w:numPr>
      <w:ind w:left="0" w:firstLine="68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2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02F9E"/>
    <w:pPr>
      <w:tabs>
        <w:tab w:val="center" w:pos="4153"/>
        <w:tab w:val="right" w:pos="8306"/>
      </w:tabs>
      <w:ind w:firstLine="709"/>
      <w:jc w:val="both"/>
    </w:pPr>
    <w:rPr>
      <w:sz w:val="24"/>
      <w:lang w:val="x-none" w:eastAsia="x-none"/>
    </w:rPr>
  </w:style>
  <w:style w:type="character" w:customStyle="1" w:styleId="a5">
    <w:name w:val="Нижний колонтитул Знак"/>
    <w:basedOn w:val="a1"/>
    <w:link w:val="a4"/>
    <w:uiPriority w:val="99"/>
    <w:rsid w:val="00D02F9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">
    <w:name w:val="Маркированный"/>
    <w:basedOn w:val="a0"/>
    <w:autoRedefine/>
    <w:rsid w:val="00D02F9E"/>
    <w:pPr>
      <w:numPr>
        <w:numId w:val="6"/>
      </w:numPr>
      <w:ind w:left="0" w:firstLine="68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3</cp:revision>
  <dcterms:created xsi:type="dcterms:W3CDTF">2012-08-24T07:20:00Z</dcterms:created>
  <dcterms:modified xsi:type="dcterms:W3CDTF">2012-08-24T11:41:00Z</dcterms:modified>
</cp:coreProperties>
</file>