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27"/>
        <w:gridCol w:w="2488"/>
        <w:gridCol w:w="1563"/>
        <w:gridCol w:w="1648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152" w:rsidRDefault="00250152" w:rsidP="0025015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Ремонт балконов в подъезде 2 (кв.7, 8) дома 29 по улице </w:t>
            </w:r>
            <w:r w:rsidR="009E4305">
              <w:rPr>
                <w:rFonts w:eastAsia="Times New Roman"/>
                <w:sz w:val="18"/>
                <w:szCs w:val="18"/>
              </w:rPr>
              <w:t xml:space="preserve">5-я </w:t>
            </w:r>
            <w:r>
              <w:rPr>
                <w:rFonts w:eastAsia="Times New Roman"/>
                <w:sz w:val="18"/>
                <w:szCs w:val="18"/>
              </w:rPr>
              <w:t>Первомайск</w:t>
            </w:r>
            <w:r w:rsidR="009E4305">
              <w:rPr>
                <w:rFonts w:eastAsia="Times New Roman"/>
                <w:sz w:val="18"/>
                <w:szCs w:val="18"/>
              </w:rPr>
              <w:t>ая</w:t>
            </w: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sz w:val="18"/>
                <w:szCs w:val="18"/>
              </w:rPr>
              <w:t xml:space="preserve">Код ОКДП </w:t>
            </w:r>
            <w:r w:rsidR="00250152">
              <w:rPr>
                <w:sz w:val="18"/>
                <w:szCs w:val="18"/>
              </w:rPr>
              <w:t>4540000</w:t>
            </w:r>
            <w:r w:rsidRPr="00802B4A">
              <w:rPr>
                <w:sz w:val="18"/>
                <w:szCs w:val="18"/>
              </w:rPr>
              <w:t>-</w:t>
            </w:r>
            <w:r w:rsidR="00250152">
              <w:rPr>
                <w:sz w:val="18"/>
                <w:szCs w:val="18"/>
              </w:rPr>
              <w:t>Услуги по завершению строительства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 w:rsidR="00250152"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250152">
              <w:rPr>
                <w:rFonts w:eastAsia="Times New Roman"/>
                <w:sz w:val="18"/>
                <w:szCs w:val="18"/>
              </w:rPr>
              <w:t>3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7954AF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7954AF"/>
    <w:rsid w:val="00802B4A"/>
    <w:rsid w:val="009E4305"/>
    <w:rsid w:val="00AA72BA"/>
    <w:rsid w:val="00B8138A"/>
    <w:rsid w:val="00C54B49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Оксана Борисовна Антонова</cp:lastModifiedBy>
  <cp:revision>4</cp:revision>
  <dcterms:created xsi:type="dcterms:W3CDTF">2012-11-06T09:17:00Z</dcterms:created>
  <dcterms:modified xsi:type="dcterms:W3CDTF">2012-11-06T09:35:00Z</dcterms:modified>
</cp:coreProperties>
</file>