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_GoBack"/>
      <w:bookmarkEnd w:id="0"/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апреля 2015 г. N 405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ЗАКАЗЧИКОМ В 2015 ГОДУ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РЕСТРУКТУРИЗАЦИИ ЗАДОЛЖЕННОСТЕЙ КОММЕРЧЕСКИХ БАНКОВ,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ВОЗНИКШИХ В СВЯЗИ С ПРЕДЪЯВЛЕНИЕМ ТРЕБОВАНИЙ К ИСПОЛНЕНИЮ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ГАРАНТИЙ, ПРЕДОСТАВЛЕННЫХ В КАЧЕСТВЕ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ИСПОЛНЕНИЯ КОНТРАКТОВ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11 статьи 96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осуществления заказчиком в 2015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обеспечения исполнения контрактов.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>Утверждены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апреля 2015 г. N 405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9"/>
      <w:bookmarkEnd w:id="3"/>
      <w:r>
        <w:rPr>
          <w:rFonts w:ascii="Calibri" w:hAnsi="Calibri" w:cs="Calibri"/>
          <w:b/>
          <w:bCs/>
        </w:rPr>
        <w:t>ПРАВИЛА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ОСУЩЕСТВЛЕНИЯ ЗАКАЗЧИКОМ В 2015 ГОДУ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РЕСТРУКТУРИЗАЦИИ ЗАДОЛЖЕННОСТЕЙ КОММЕРЧЕСКИХ БАНКОВ,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ВОЗНИКШИХ В СВЯЗИ С ПРЕДЪЯВЛЕНИЕМ ТРЕБОВАНИЙ К ИСПОЛНЕНИЮ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БАНКОВСКИХ ГАРАНТИЙ, ПРЕДОСТАВЛЕННЫХ В КАЧЕСТВЕ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ИСПОЛНЕНИЯ КОНТРАКТОВ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и условия осуществления заказчиком в 2015 году реструктуризации задолженностей коммерческих банков, возникших в связи с предъявлением требований к исполнению банковских гарантий, предоставленных в качестве обеспечения исполнения контрактов (включая государственные контракты,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</w:t>
      </w:r>
      <w:proofErr w:type="gramEnd"/>
      <w:r>
        <w:rPr>
          <w:rFonts w:ascii="Calibri" w:hAnsi="Calibri" w:cs="Calibri"/>
        </w:rPr>
        <w:t xml:space="preserve"> системе в сфере закупок товаров, работ, услуг для обеспечения государственных и муниципальных нужд") (далее соответственно - реструктуризация задолженности по банковской гарантии, Федеральный закон).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Для целей настоящих Правил под реструктуризацией задолженности по банковской гарантии понимается изменение первичных обязательств на иные обязательства, предусматривающие другие способы исполнения обязательств, выраженные в установлении графика поэтапного погашения такой задолженности.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"/>
      <w:bookmarkEnd w:id="4"/>
      <w:r>
        <w:rPr>
          <w:rFonts w:ascii="Calibri" w:hAnsi="Calibri" w:cs="Calibri"/>
        </w:rPr>
        <w:lastRenderedPageBreak/>
        <w:t>3. Реструктуризация задолженности по банковской гарантии осуществляется заказчиком при одновременном соблюдении следующих условий: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задолженность коммерческого банка возникла в связи с предъявлением заказчиком требования об осуществлении уплаты денежной суммы по банковской гарантии, предоставленной в качестве обеспечения исполнения контракта, если условиями такого контракта не предусмотрена выплата аванса либо денежная сумма, подлежащая уплате по банковской гарантии, превышает размер аванса, уменьшенного с учетом фактически исполненных обязательств по контракту;</w:t>
      </w:r>
      <w:proofErr w:type="gramEnd"/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коммерческим банком признано наличие такой задолженности посредством направления в адрес заказчика в письменной форме обращения коммерческого банка о реструктуризации задолженности в срок, не превышающий 5 рабочих дней со дня получения требования об осуществлении уплаты денежной суммы по банковской гарантии;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коммерческим банком выплачена не подлежащая реструктуризации сумма по банковской гарантии, которая равна размеру аванса, уменьшенного с учетом фактически исполненных обязательств по контракту (в случае, если контрактом предусмотрена выплата аванса).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"/>
      <w:bookmarkEnd w:id="5"/>
      <w:r>
        <w:rPr>
          <w:rFonts w:ascii="Calibri" w:hAnsi="Calibri" w:cs="Calibri"/>
        </w:rPr>
        <w:t>4. Заказчик принимает решение о реструктуризации задолженности по банковской гарантии на основании обращения коммерческого банка о реструктуризации задолженности, которому заказчиком направлено требование об осуществлении уплаты денежной суммы по банковской гарантии. Такое обращение должно содержать: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наименование, место нахождения банка, идентификационный номер налогоплательщика;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номер реестровой записи банковской гарантии в реестре банковских гарантий (при наличии);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дату заключения и номер (при наличии) контракта;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рассчитанную в соответствии с </w:t>
      </w:r>
      <w:hyperlink w:anchor="Par65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 сумму задолженности по банковской гарантии, в отношении которой коммерческий банк просит принять решение о реструктуризации.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7"/>
      <w:bookmarkEnd w:id="6"/>
      <w:r>
        <w:rPr>
          <w:rFonts w:ascii="Calibri" w:hAnsi="Calibri" w:cs="Calibri"/>
        </w:rPr>
        <w:t>5. Заказчик рассматривает обращение коммерческого банка о реструктуризации задолженности в срок не более 10 рабочих дней после его получения и принимает одно из 2 решений: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 отказе в реструктуризации задолженности по банковской гарантии в связи с несоответствием обращения коммерческого банка о реструктуризации задолженности условиям, указанным в </w:t>
      </w:r>
      <w:hyperlink w:anchor="Par38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Правил, а также требованиям к содержанию указанного обращения, указанным в </w:t>
      </w:r>
      <w:hyperlink w:anchor="Par4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Правил. В случае принятия такого решения заказчик направляет в адрес коммерческого банка в письменной форме мотивированный отказ в реструктуризации задолженности;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 заключении соглашения о реструктуризации задолженности коммерческого банка по банковской гарантии (далее - соглашение). В случае принятия такого решения заказчик направляет в адрес коммерческого банка в письменной форме проект соглашения.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0"/>
      <w:bookmarkEnd w:id="7"/>
      <w:r>
        <w:rPr>
          <w:rFonts w:ascii="Calibri" w:hAnsi="Calibri" w:cs="Calibri"/>
        </w:rPr>
        <w:t>6. Соглашение определяет: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рассчитанную в соответствии с </w:t>
      </w:r>
      <w:hyperlink w:anchor="Par65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 сумму задолженности, в отношении которой осуществляется реструктуризация;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срок действия соглашения, равный 12 месяцам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подписания;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график поэтапного погашения задолженности, предусматривающий ее полное погашение в течение срока действия соглашения равными долями, перечисляемыми ежемесячно;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условие о том, что предусмотренная банковской гарантией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3 части 2 статьи 45</w:t>
        </w:r>
      </w:hyperlink>
      <w:r>
        <w:rPr>
          <w:rFonts w:ascii="Calibri" w:hAnsi="Calibri" w:cs="Calibri"/>
        </w:rPr>
        <w:t xml:space="preserve"> Федерального закона неустойка не начисляется до окончания срока действия соглашения, в том числе за период </w:t>
      </w:r>
      <w:proofErr w:type="gramStart"/>
      <w:r>
        <w:rPr>
          <w:rFonts w:ascii="Calibri" w:hAnsi="Calibri" w:cs="Calibri"/>
        </w:rPr>
        <w:t>с даты наступления</w:t>
      </w:r>
      <w:proofErr w:type="gramEnd"/>
      <w:r>
        <w:rPr>
          <w:rFonts w:ascii="Calibri" w:hAnsi="Calibri" w:cs="Calibri"/>
        </w:rPr>
        <w:t xml:space="preserve"> обязанности по уплате коммерческим банком суммы банковской гарантии до даты заключения соглашения;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право коммерческого банка на досрочное погашение задолженности посредством перечисления денежных сумм, превышающих установленный размер ежемесячного платежа;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право заказчика на односторонний отказ от соглашения, если коммерческим банком дважды нарушен срок перечисления ежемесячных платежей либо указанные платежи перечислены в размере менее установленного графиком поэтапного погашения задолженности;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ж) начисление предусмотренной банковской гарантией в соответствии с </w:t>
      </w:r>
      <w:hyperlink r:id="rId8" w:history="1">
        <w:r>
          <w:rPr>
            <w:rFonts w:ascii="Calibri" w:hAnsi="Calibri" w:cs="Calibri"/>
            <w:color w:val="0000FF"/>
          </w:rPr>
          <w:t xml:space="preserve">пунктом 3 части 2 </w:t>
        </w:r>
        <w:r>
          <w:rPr>
            <w:rFonts w:ascii="Calibri" w:hAnsi="Calibri" w:cs="Calibri"/>
            <w:color w:val="0000FF"/>
          </w:rPr>
          <w:lastRenderedPageBreak/>
          <w:t>статьи 45</w:t>
        </w:r>
      </w:hyperlink>
      <w:r>
        <w:rPr>
          <w:rFonts w:ascii="Calibri" w:hAnsi="Calibri" w:cs="Calibri"/>
        </w:rPr>
        <w:t xml:space="preserve"> Федерального закона неустойки в случае расторжения соглашения на не оплаченную на дату расторжения соглашения сумму задолженности начиная с даты наступления обязанности по уплате коммерческим банком суммы банковской гарантии.</w:t>
      </w:r>
      <w:proofErr w:type="gramEnd"/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Включение иных существенных условий в соглашение, помимо указанных в </w:t>
      </w:r>
      <w:hyperlink w:anchor="Par5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настоящих Правил, не допускается.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9"/>
      <w:bookmarkEnd w:id="8"/>
      <w:r>
        <w:rPr>
          <w:rFonts w:ascii="Calibri" w:hAnsi="Calibri" w:cs="Calibri"/>
        </w:rPr>
        <w:t>8. Заключение соглашения осуществляется в следующем порядке: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заказчик направляет проект соглашения в адрес коммерческого банка в срок, указанный в </w:t>
      </w:r>
      <w:hyperlink w:anchor="Par47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Правил, в 2 экземплярах;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коммерческий банк в течение 10 рабочих дней со дня получения проекта соглашения направляет заказчику 2 экземпляра подписанного соглашения либо в случае несогласия с предлагаемым проектом соглашения перечень замечаний по нему;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заказчик подписывает соглашение в течение 5 рабочих дней со дня получения подписанного коммерческим банком соглашения;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случае получения перечня замечаний заказчик рассматривает его и в течение 5 рабочих дней проводит с коммерческим банком согласительное совещание, по результатам которого соглашение должно быть подписано в течение 5 рабочих дней.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случае если соглашение не подписано коммерческим банком в сроки, указанные в </w:t>
      </w:r>
      <w:hyperlink w:anchor="Par59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настоящих Правил, сумма банковской гарантии перечисляется заказчику в полном объеме.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5"/>
      <w:bookmarkEnd w:id="9"/>
      <w:r>
        <w:rPr>
          <w:rFonts w:ascii="Calibri" w:hAnsi="Calibri" w:cs="Calibri"/>
        </w:rPr>
        <w:t>10. Расчет суммы задолженности, подлежащей реструктуризации, определяется по формуле: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7pt;height:19.9pt">
            <v:imagedata r:id="rId9" o:title=""/>
          </v:shape>
        </w:pict>
      </w:r>
      <w:r>
        <w:rPr>
          <w:rFonts w:ascii="Calibri" w:hAnsi="Calibri" w:cs="Calibri"/>
        </w:rPr>
        <w:t>,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6" type="#_x0000_t75" style="width:21.5pt;height:19.9pt">
            <v:imagedata r:id="rId10" o:title=""/>
          </v:shape>
        </w:pict>
      </w:r>
      <w:r>
        <w:rPr>
          <w:rFonts w:ascii="Calibri" w:hAnsi="Calibri" w:cs="Calibri"/>
        </w:rPr>
        <w:t xml:space="preserve"> - сумма банковской гарантии, уменьшенная в соответствии с условиями контракта, в целях </w:t>
      </w:r>
      <w:proofErr w:type="gramStart"/>
      <w:r>
        <w:rPr>
          <w:rFonts w:ascii="Calibri" w:hAnsi="Calibri" w:cs="Calibri"/>
        </w:rPr>
        <w:t>обеспечения</w:t>
      </w:r>
      <w:proofErr w:type="gramEnd"/>
      <w:r>
        <w:rPr>
          <w:rFonts w:ascii="Calibri" w:hAnsi="Calibri" w:cs="Calibri"/>
        </w:rPr>
        <w:t xml:space="preserve"> исполнения которого была предоставлена банковская гарантия, пропорционально объему исполненных обязательств либо на сумму исполненных обязательств по контракту (в зависимости от условий банковской гарантии);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27" type="#_x0000_t75" style="width:16.65pt;height:19.9pt">
            <v:imagedata r:id="rId11" o:title=""/>
          </v:shape>
        </w:pict>
      </w:r>
      <w:r>
        <w:rPr>
          <w:rFonts w:ascii="Calibri" w:hAnsi="Calibri" w:cs="Calibri"/>
        </w:rPr>
        <w:t xml:space="preserve"> - сумма аванса по контракту, уменьшенная в соответствии с условиями контракта, в целях </w:t>
      </w:r>
      <w:proofErr w:type="gramStart"/>
      <w:r>
        <w:rPr>
          <w:rFonts w:ascii="Calibri" w:hAnsi="Calibri" w:cs="Calibri"/>
        </w:rPr>
        <w:t>обеспечения</w:t>
      </w:r>
      <w:proofErr w:type="gramEnd"/>
      <w:r>
        <w:rPr>
          <w:rFonts w:ascii="Calibri" w:hAnsi="Calibri" w:cs="Calibri"/>
        </w:rPr>
        <w:t xml:space="preserve"> исполнения которого была предоставлена банковская гарантия, пропорционально объему исполненных обязательств либо на сумму исполненных обязательств по контракту (в зависимости от принятого у заказчика способа списания авансовых платежей).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отношении каждой банковской гарантии, по которой заказчиком предъявлено требование об осуществлении уплаты денежной суммы, направляется отдельное обращение коммерческого банка, указанное в </w:t>
      </w:r>
      <w:hyperlink w:anchor="Par4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о реструктуризации задолженности и заключается отдельное соглашение.</w:t>
      </w: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69CF" w:rsidRDefault="00BD69C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47EF9" w:rsidRDefault="00747EF9"/>
    <w:sectPr w:rsidR="00747EF9" w:rsidSect="004B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CF"/>
    <w:rsid w:val="00747EF9"/>
    <w:rsid w:val="00B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9E6EA2510F659F0E56ABFC038BDC3B6FADDC6DC6A708C5535F96DDFD106C6366E041D3FFB033BXAM4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29E6EA2510F659F0E56ABFC038BDC3B6FADDC6DC6A708C5535F96DDFD106C6366E041D3FFB033BXAM4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29E6EA2510F659F0E56ABFC038BDC3B6FADDC6DC6A708C5535F96DDFXDM1O" TargetMode="External"/><Relationship Id="rId11" Type="http://schemas.openxmlformats.org/officeDocument/2006/relationships/image" Target="media/image3.wmf"/><Relationship Id="rId5" Type="http://schemas.openxmlformats.org/officeDocument/2006/relationships/hyperlink" Target="consultantplus://offline/ref=0C29E6EA2510F659F0E56ABFC038BDC3B6FADDC6DC6A708C5535F96DDFD106C6366E041FX3MCO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2015-05-06T14:12:00Z</dcterms:created>
  <dcterms:modified xsi:type="dcterms:W3CDTF">2015-05-06T14:12:00Z</dcterms:modified>
</cp:coreProperties>
</file>